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BC627" w14:textId="77777777" w:rsidR="00864E5F" w:rsidRPr="00F60BBF" w:rsidRDefault="00864E5F" w:rsidP="00F60BBF">
      <w:pPr>
        <w:spacing w:before="100" w:beforeAutospacing="1" w:after="100" w:afterAutospacing="1" w:line="240" w:lineRule="auto"/>
        <w:outlineLvl w:val="2"/>
        <w:rPr>
          <w:rFonts w:ascii="Century Gothic" w:eastAsia="Times New Roman" w:hAnsi="Century Gothic" w:cs="Times New Roman"/>
          <w:b/>
          <w:bCs/>
          <w:sz w:val="27"/>
          <w:szCs w:val="27"/>
        </w:rPr>
      </w:pPr>
      <w:r w:rsidRPr="00F60BBF">
        <w:rPr>
          <w:rFonts w:ascii="Century Gothic" w:eastAsia="Times New Roman" w:hAnsi="Century Gothic" w:cs="Times New Roman"/>
          <w:b/>
          <w:bCs/>
          <w:sz w:val="27"/>
          <w:szCs w:val="27"/>
        </w:rPr>
        <w:t>Admission to the Bar in Saint Lucia: Synopsis of the Process for Non-Citizens</w:t>
      </w:r>
    </w:p>
    <w:p w14:paraId="1B8DA8B4" w14:textId="77777777" w:rsidR="00864E5F" w:rsidRPr="00F60BBF" w:rsidRDefault="00864E5F" w:rsidP="00F60BBF">
      <w:p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sz w:val="24"/>
          <w:szCs w:val="24"/>
        </w:rPr>
        <w:t>Before a non-citizen can be admitted by the High Court to practice as an attorney-at-law in Saint Lucia, the Attorney General must issue an official order published in the Government Gazette. This order confirms that the applicant has satisfied the requirements outlined in Sections 15(1) and (2) of the Legal Profession Act, Cap. 2.04, and is eligible for admission under Section 16 of the Revised Laws of Saint Lucia.</w:t>
      </w:r>
    </w:p>
    <w:p w14:paraId="248DAF66" w14:textId="77777777" w:rsidR="00864E5F" w:rsidRPr="00F60BBF" w:rsidRDefault="00864E5F" w:rsidP="00F60BBF">
      <w:p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b/>
          <w:bCs/>
          <w:sz w:val="24"/>
          <w:szCs w:val="24"/>
        </w:rPr>
        <w:t>Steps for Admission:</w:t>
      </w:r>
    </w:p>
    <w:p w14:paraId="6A8EA3C2" w14:textId="77777777" w:rsidR="00F60BBF" w:rsidRDefault="00864E5F" w:rsidP="00F60BBF">
      <w:pPr>
        <w:numPr>
          <w:ilvl w:val="0"/>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b/>
          <w:bCs/>
          <w:sz w:val="24"/>
          <w:szCs w:val="24"/>
        </w:rPr>
        <w:t>Application Submission:</w:t>
      </w:r>
      <w:r w:rsidRPr="00F60BBF">
        <w:rPr>
          <w:rFonts w:ascii="Century Gothic" w:eastAsia="Times New Roman" w:hAnsi="Century Gothic" w:cs="Times New Roman"/>
          <w:sz w:val="24"/>
          <w:szCs w:val="24"/>
        </w:rPr>
        <w:br/>
        <w:t xml:space="preserve">The applicant submits a formal application in the form of a missive, along with supporting evidence </w:t>
      </w:r>
      <w:r w:rsidR="00F60BBF">
        <w:rPr>
          <w:rFonts w:ascii="Century Gothic" w:eastAsia="Times New Roman" w:hAnsi="Century Gothic" w:cs="Times New Roman"/>
          <w:sz w:val="24"/>
          <w:szCs w:val="24"/>
        </w:rPr>
        <w:t xml:space="preserve">demonstrating compliance with </w:t>
      </w:r>
      <w:r w:rsidRPr="00F60BBF">
        <w:rPr>
          <w:rFonts w:ascii="Century Gothic" w:eastAsia="Times New Roman" w:hAnsi="Century Gothic" w:cs="Times New Roman"/>
          <w:sz w:val="24"/>
          <w:szCs w:val="24"/>
        </w:rPr>
        <w:t>Sections 15(1) and (2) of the Legal Profession Act, Cap. 2.04.</w:t>
      </w:r>
    </w:p>
    <w:p w14:paraId="7D2D4328" w14:textId="77777777" w:rsidR="00F60BBF" w:rsidRPr="00F60BBF" w:rsidRDefault="00F60BBF" w:rsidP="00F60BBF">
      <w:pPr>
        <w:spacing w:before="100" w:beforeAutospacing="1" w:after="100" w:afterAutospacing="1" w:line="240" w:lineRule="auto"/>
        <w:ind w:left="720"/>
        <w:rPr>
          <w:rFonts w:ascii="Century Gothic" w:eastAsia="Times New Roman" w:hAnsi="Century Gothic" w:cs="Times New Roman"/>
          <w:sz w:val="2"/>
          <w:szCs w:val="24"/>
        </w:rPr>
      </w:pPr>
    </w:p>
    <w:p w14:paraId="4C765522" w14:textId="77777777" w:rsidR="00864E5F" w:rsidRPr="00F60BBF" w:rsidRDefault="00864E5F" w:rsidP="00F60BBF">
      <w:pPr>
        <w:numPr>
          <w:ilvl w:val="0"/>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b/>
          <w:bCs/>
          <w:sz w:val="24"/>
          <w:szCs w:val="24"/>
        </w:rPr>
        <w:t>Required Documentation:</w:t>
      </w:r>
      <w:r w:rsidRPr="00F60BBF">
        <w:rPr>
          <w:rFonts w:ascii="Century Gothic" w:eastAsia="Times New Roman" w:hAnsi="Century Gothic" w:cs="Times New Roman"/>
          <w:sz w:val="24"/>
          <w:szCs w:val="24"/>
        </w:rPr>
        <w:br/>
        <w:t>The application must include:</w:t>
      </w:r>
    </w:p>
    <w:p w14:paraId="72ACE013" w14:textId="77777777" w:rsidR="00864E5F" w:rsidRPr="00F60BBF" w:rsidRDefault="00864E5F" w:rsidP="00F60BBF">
      <w:pPr>
        <w:numPr>
          <w:ilvl w:val="1"/>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sz w:val="24"/>
          <w:szCs w:val="24"/>
        </w:rPr>
        <w:t>A certified copy of the bio-data page of the applicant’s passport</w:t>
      </w:r>
    </w:p>
    <w:p w14:paraId="6D1D3A3A" w14:textId="77777777" w:rsidR="00864E5F" w:rsidRPr="00F60BBF" w:rsidRDefault="00864E5F" w:rsidP="00F60BBF">
      <w:pPr>
        <w:numPr>
          <w:ilvl w:val="1"/>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sz w:val="24"/>
          <w:szCs w:val="24"/>
        </w:rPr>
        <w:t>Certified copies of all relevant academic and professional certificates</w:t>
      </w:r>
    </w:p>
    <w:p w14:paraId="154FB0B1" w14:textId="77777777" w:rsidR="00864E5F" w:rsidRDefault="00864E5F" w:rsidP="00F60BBF">
      <w:pPr>
        <w:numPr>
          <w:ilvl w:val="1"/>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sz w:val="24"/>
          <w:szCs w:val="24"/>
        </w:rPr>
        <w:t xml:space="preserve">An original or certified copy of a certificate of character issued by the applicant’s country of </w:t>
      </w:r>
      <w:commentRangeStart w:id="0"/>
      <w:r w:rsidRPr="00F60BBF">
        <w:rPr>
          <w:rFonts w:ascii="Century Gothic" w:eastAsia="Times New Roman" w:hAnsi="Century Gothic" w:cs="Times New Roman"/>
          <w:sz w:val="24"/>
          <w:szCs w:val="24"/>
        </w:rPr>
        <w:t>residence</w:t>
      </w:r>
      <w:commentRangeEnd w:id="0"/>
      <w:r w:rsidR="00F60BBF">
        <w:rPr>
          <w:rStyle w:val="CommentReference"/>
        </w:rPr>
        <w:commentReference w:id="0"/>
      </w:r>
    </w:p>
    <w:p w14:paraId="2D3A4640" w14:textId="77777777" w:rsidR="00F60BBF" w:rsidRPr="00F60BBF" w:rsidRDefault="00F60BBF" w:rsidP="00F60BBF">
      <w:pPr>
        <w:spacing w:before="100" w:beforeAutospacing="1" w:after="100" w:afterAutospacing="1" w:line="240" w:lineRule="auto"/>
        <w:ind w:left="1440"/>
        <w:rPr>
          <w:rFonts w:ascii="Century Gothic" w:eastAsia="Times New Roman" w:hAnsi="Century Gothic" w:cs="Times New Roman"/>
          <w:sz w:val="2"/>
          <w:szCs w:val="24"/>
        </w:rPr>
      </w:pPr>
    </w:p>
    <w:p w14:paraId="2FA5D7D3" w14:textId="77777777" w:rsidR="00F60BBF" w:rsidRPr="00F60BBF" w:rsidRDefault="00864E5F" w:rsidP="0087237C">
      <w:pPr>
        <w:numPr>
          <w:ilvl w:val="0"/>
          <w:numId w:val="1"/>
        </w:numPr>
        <w:spacing w:before="100" w:beforeAutospacing="1" w:after="100" w:afterAutospacing="1" w:line="240" w:lineRule="auto"/>
        <w:rPr>
          <w:rFonts w:ascii="Century Gothic" w:eastAsia="Times New Roman" w:hAnsi="Century Gothic" w:cs="Times New Roman"/>
          <w:sz w:val="2"/>
          <w:szCs w:val="24"/>
        </w:rPr>
      </w:pPr>
      <w:r w:rsidRPr="00F60BBF">
        <w:rPr>
          <w:rFonts w:ascii="Century Gothic" w:eastAsia="Times New Roman" w:hAnsi="Century Gothic" w:cs="Times New Roman"/>
          <w:b/>
          <w:bCs/>
          <w:sz w:val="24"/>
          <w:szCs w:val="24"/>
        </w:rPr>
        <w:t>Request for Chief Justice’s Opinion:</w:t>
      </w:r>
    </w:p>
    <w:p w14:paraId="08557393" w14:textId="77777777" w:rsidR="00F60BBF" w:rsidRPr="00F60BBF" w:rsidRDefault="00F60BBF" w:rsidP="0087237C">
      <w:pPr>
        <w:numPr>
          <w:ilvl w:val="0"/>
          <w:numId w:val="1"/>
        </w:numPr>
        <w:spacing w:before="100" w:beforeAutospacing="1" w:after="100" w:afterAutospacing="1" w:line="240" w:lineRule="auto"/>
        <w:rPr>
          <w:rFonts w:ascii="Century Gothic" w:eastAsia="Times New Roman" w:hAnsi="Century Gothic" w:cs="Times New Roman"/>
          <w:sz w:val="2"/>
          <w:szCs w:val="24"/>
        </w:rPr>
      </w:pPr>
      <w:r w:rsidRPr="00F60BBF">
        <w:rPr>
          <w:rFonts w:ascii="Century Gothic" w:eastAsia="Times New Roman" w:hAnsi="Century Gothic" w:cs="Times New Roman"/>
          <w:sz w:val="24"/>
          <w:szCs w:val="24"/>
        </w:rPr>
        <w:t>Upon approval of the application, a request is sent to the Chief Justice for their views on the applicant’s eligibility, as required by Section 16(2) of the Legal Profession Act.</w:t>
      </w:r>
    </w:p>
    <w:p w14:paraId="513F918A" w14:textId="77777777" w:rsidR="00F60BBF" w:rsidRPr="00F60BBF" w:rsidRDefault="00864E5F" w:rsidP="0087237C">
      <w:pPr>
        <w:numPr>
          <w:ilvl w:val="0"/>
          <w:numId w:val="1"/>
        </w:numPr>
        <w:spacing w:before="100" w:beforeAutospacing="1" w:after="100" w:afterAutospacing="1" w:line="240" w:lineRule="auto"/>
        <w:rPr>
          <w:rFonts w:ascii="Century Gothic" w:eastAsia="Times New Roman" w:hAnsi="Century Gothic" w:cs="Times New Roman"/>
          <w:sz w:val="2"/>
          <w:szCs w:val="24"/>
        </w:rPr>
      </w:pPr>
      <w:r w:rsidRPr="00F60BBF">
        <w:rPr>
          <w:rFonts w:ascii="Century Gothic" w:eastAsia="Times New Roman" w:hAnsi="Century Gothic" w:cs="Times New Roman"/>
          <w:sz w:val="24"/>
          <w:szCs w:val="24"/>
        </w:rPr>
        <w:br/>
      </w:r>
    </w:p>
    <w:p w14:paraId="0EBF2B62" w14:textId="77777777" w:rsidR="00864E5F" w:rsidRDefault="00864E5F" w:rsidP="00F60BBF">
      <w:pPr>
        <w:numPr>
          <w:ilvl w:val="0"/>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b/>
          <w:bCs/>
          <w:sz w:val="24"/>
          <w:szCs w:val="24"/>
        </w:rPr>
        <w:t>Chief Justice’s Response:</w:t>
      </w:r>
      <w:r w:rsidRPr="00F60BBF">
        <w:rPr>
          <w:rFonts w:ascii="Century Gothic" w:eastAsia="Times New Roman" w:hAnsi="Century Gothic" w:cs="Times New Roman"/>
          <w:sz w:val="24"/>
          <w:szCs w:val="24"/>
        </w:rPr>
        <w:br/>
        <w:t>The Chief Justice reviews the application and confirms whether the applicant is a national of the stated country and whether that country grants reciprocal admission rights to citizens of Saint Lucia.</w:t>
      </w:r>
    </w:p>
    <w:p w14:paraId="56F016AE" w14:textId="77777777" w:rsidR="00F60BBF" w:rsidRPr="00F60BBF" w:rsidRDefault="00F60BBF" w:rsidP="00F60BBF">
      <w:pPr>
        <w:spacing w:before="100" w:beforeAutospacing="1" w:after="100" w:afterAutospacing="1" w:line="240" w:lineRule="auto"/>
        <w:rPr>
          <w:rFonts w:ascii="Century Gothic" w:eastAsia="Times New Roman" w:hAnsi="Century Gothic" w:cs="Times New Roman"/>
          <w:sz w:val="2"/>
          <w:szCs w:val="24"/>
        </w:rPr>
      </w:pPr>
    </w:p>
    <w:p w14:paraId="53A3075F" w14:textId="77777777" w:rsidR="00864E5F" w:rsidRPr="00F60BBF" w:rsidRDefault="00864E5F" w:rsidP="00F60BBF">
      <w:pPr>
        <w:numPr>
          <w:ilvl w:val="0"/>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b/>
          <w:bCs/>
          <w:sz w:val="24"/>
          <w:szCs w:val="24"/>
        </w:rPr>
        <w:t>Preparation of Statutory Instrument:</w:t>
      </w:r>
      <w:r w:rsidRPr="00F60BBF">
        <w:rPr>
          <w:rFonts w:ascii="Century Gothic" w:eastAsia="Times New Roman" w:hAnsi="Century Gothic" w:cs="Times New Roman"/>
          <w:sz w:val="24"/>
          <w:szCs w:val="24"/>
        </w:rPr>
        <w:br/>
        <w:t>If the Chief Justice is satisfied, the application is forwarded to</w:t>
      </w:r>
      <w:r w:rsidR="00F60BBF">
        <w:rPr>
          <w:rFonts w:ascii="Century Gothic" w:eastAsia="Times New Roman" w:hAnsi="Century Gothic" w:cs="Times New Roman"/>
          <w:sz w:val="24"/>
          <w:szCs w:val="24"/>
        </w:rPr>
        <w:t xml:space="preserve"> the Legislative Drafting Unit via</w:t>
      </w:r>
      <w:r w:rsidR="00F60BBF" w:rsidRPr="00F60BBF">
        <w:rPr>
          <w:rFonts w:ascii="Century Gothic" w:eastAsia="Times New Roman" w:hAnsi="Century Gothic" w:cs="Times New Roman"/>
          <w:sz w:val="24"/>
          <w:szCs w:val="24"/>
        </w:rPr>
        <w:t xml:space="preserve"> the Attorney General </w:t>
      </w:r>
      <w:r w:rsidR="00F60BBF">
        <w:rPr>
          <w:rFonts w:ascii="Century Gothic" w:eastAsia="Times New Roman" w:hAnsi="Century Gothic" w:cs="Times New Roman"/>
          <w:sz w:val="24"/>
          <w:szCs w:val="24"/>
        </w:rPr>
        <w:t>to</w:t>
      </w:r>
      <w:r w:rsidRPr="00F60BBF">
        <w:rPr>
          <w:rFonts w:ascii="Century Gothic" w:eastAsia="Times New Roman" w:hAnsi="Century Gothic" w:cs="Times New Roman"/>
          <w:sz w:val="24"/>
          <w:szCs w:val="24"/>
        </w:rPr>
        <w:t xml:space="preserve"> prepare the statutory instrument known as the Legal Profession (Eligibility) Order.</w:t>
      </w:r>
    </w:p>
    <w:p w14:paraId="305EB283" w14:textId="77777777" w:rsidR="00864E5F" w:rsidRDefault="00864E5F" w:rsidP="00F60BBF">
      <w:pPr>
        <w:numPr>
          <w:ilvl w:val="0"/>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b/>
          <w:bCs/>
          <w:sz w:val="24"/>
          <w:szCs w:val="24"/>
        </w:rPr>
        <w:lastRenderedPageBreak/>
        <w:t>Approval and Signature:</w:t>
      </w:r>
      <w:r w:rsidRPr="00F60BBF">
        <w:rPr>
          <w:rFonts w:ascii="Century Gothic" w:eastAsia="Times New Roman" w:hAnsi="Century Gothic" w:cs="Times New Roman"/>
          <w:sz w:val="24"/>
          <w:szCs w:val="24"/>
        </w:rPr>
        <w:br/>
        <w:t>After preparation, the Attorney General reviews, approves, and signs the statutory instrument.</w:t>
      </w:r>
    </w:p>
    <w:p w14:paraId="3BF30DC1" w14:textId="77777777" w:rsidR="00F60BBF" w:rsidRPr="00F60BBF" w:rsidRDefault="00F60BBF" w:rsidP="00F60BBF">
      <w:pPr>
        <w:spacing w:before="100" w:beforeAutospacing="1" w:after="100" w:afterAutospacing="1" w:line="240" w:lineRule="auto"/>
        <w:ind w:left="720"/>
        <w:rPr>
          <w:rFonts w:ascii="Century Gothic" w:eastAsia="Times New Roman" w:hAnsi="Century Gothic" w:cs="Times New Roman"/>
          <w:sz w:val="2"/>
          <w:szCs w:val="24"/>
        </w:rPr>
      </w:pPr>
    </w:p>
    <w:p w14:paraId="7663677F" w14:textId="77777777" w:rsidR="00864E5F" w:rsidRPr="00F60BBF" w:rsidRDefault="00864E5F" w:rsidP="00F60BBF">
      <w:pPr>
        <w:numPr>
          <w:ilvl w:val="0"/>
          <w:numId w:val="1"/>
        </w:numPr>
        <w:spacing w:before="100" w:beforeAutospacing="1" w:after="100" w:afterAutospacing="1" w:line="240" w:lineRule="auto"/>
        <w:rPr>
          <w:rFonts w:ascii="Century Gothic" w:eastAsia="Times New Roman" w:hAnsi="Century Gothic" w:cs="Times New Roman"/>
          <w:sz w:val="24"/>
          <w:szCs w:val="24"/>
        </w:rPr>
      </w:pPr>
      <w:r w:rsidRPr="00F60BBF">
        <w:rPr>
          <w:rFonts w:ascii="Century Gothic" w:eastAsia="Times New Roman" w:hAnsi="Century Gothic" w:cs="Times New Roman"/>
          <w:b/>
          <w:bCs/>
          <w:sz w:val="24"/>
          <w:szCs w:val="24"/>
        </w:rPr>
        <w:t>Publication:</w:t>
      </w:r>
      <w:r w:rsidRPr="00F60BBF">
        <w:rPr>
          <w:rFonts w:ascii="Century Gothic" w:eastAsia="Times New Roman" w:hAnsi="Century Gothic" w:cs="Times New Roman"/>
          <w:sz w:val="24"/>
          <w:szCs w:val="24"/>
        </w:rPr>
        <w:br/>
        <w:t>The signed order is sent to the National Printing Corporation for official publication in the Government Gazette, completing the process</w:t>
      </w:r>
      <w:r w:rsidR="00F60BBF">
        <w:rPr>
          <w:rFonts w:ascii="Century Gothic" w:eastAsia="Times New Roman" w:hAnsi="Century Gothic" w:cs="Times New Roman"/>
          <w:sz w:val="24"/>
          <w:szCs w:val="24"/>
        </w:rPr>
        <w:t xml:space="preserve"> at the Attorney General Chambers</w:t>
      </w:r>
      <w:r w:rsidRPr="00F60BBF">
        <w:rPr>
          <w:rFonts w:ascii="Century Gothic" w:eastAsia="Times New Roman" w:hAnsi="Century Gothic" w:cs="Times New Roman"/>
          <w:sz w:val="24"/>
          <w:szCs w:val="24"/>
        </w:rPr>
        <w:t>.</w:t>
      </w:r>
    </w:p>
    <w:p w14:paraId="5E8670CA" w14:textId="77777777" w:rsidR="00000000" w:rsidRPr="00F60BBF" w:rsidRDefault="00000000" w:rsidP="00F60BBF">
      <w:pPr>
        <w:rPr>
          <w:rFonts w:ascii="Century Gothic" w:hAnsi="Century Gothic"/>
        </w:rPr>
      </w:pPr>
    </w:p>
    <w:sectPr w:rsidR="000577EF" w:rsidRPr="00F60BBF">
      <w:head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ETTE JULES" w:date="2025-10-14T10:33:00Z" w:initials="NJ">
    <w:p w14:paraId="7F4946E1" w14:textId="77777777" w:rsidR="00F60BBF" w:rsidRDefault="00F60BBF">
      <w:pPr>
        <w:pStyle w:val="CommentText"/>
      </w:pPr>
      <w:r>
        <w:rPr>
          <w:rStyle w:val="CommentReference"/>
        </w:rPr>
        <w:annotationRef/>
      </w:r>
      <w:r>
        <w:t xml:space="preserve">Not sure if we should add the certificate of good standing from the Applicant’s Bar Association as a required document. It is sometimes sent to us with the application to show that the Attorney is in Good standing with the bar and that there are no current disciplinary matters against the attorney.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4946E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4946E1" w16cid:durableId="7F4946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8856" w14:textId="77777777" w:rsidR="00DD3D54" w:rsidRDefault="00DD3D54" w:rsidP="00E965A0">
      <w:pPr>
        <w:spacing w:after="0" w:line="240" w:lineRule="auto"/>
      </w:pPr>
      <w:r>
        <w:separator/>
      </w:r>
    </w:p>
  </w:endnote>
  <w:endnote w:type="continuationSeparator" w:id="0">
    <w:p w14:paraId="2A0B3570" w14:textId="77777777" w:rsidR="00DD3D54" w:rsidRDefault="00DD3D54" w:rsidP="00E96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58B32" w14:textId="77777777" w:rsidR="00DD3D54" w:rsidRDefault="00DD3D54" w:rsidP="00E965A0">
      <w:pPr>
        <w:spacing w:after="0" w:line="240" w:lineRule="auto"/>
      </w:pPr>
      <w:r>
        <w:separator/>
      </w:r>
    </w:p>
  </w:footnote>
  <w:footnote w:type="continuationSeparator" w:id="0">
    <w:p w14:paraId="6B116F2B" w14:textId="77777777" w:rsidR="00DD3D54" w:rsidRDefault="00DD3D54" w:rsidP="00E965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230E" w14:textId="68683A3C" w:rsidR="00E965A0" w:rsidRDefault="00E965A0">
    <w:pPr>
      <w:pStyle w:val="Header"/>
    </w:pPr>
    <w:r>
      <w:t xml:space="preserve">CC Jules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A47"/>
    <w:multiLevelType w:val="multilevel"/>
    <w:tmpl w:val="CD60765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52376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ETTE JULES">
    <w15:presenceInfo w15:providerId="None" w15:userId="NICOLETTE J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E5F"/>
    <w:rsid w:val="004E59A5"/>
    <w:rsid w:val="005F0434"/>
    <w:rsid w:val="005F7514"/>
    <w:rsid w:val="00731C2B"/>
    <w:rsid w:val="00864E5F"/>
    <w:rsid w:val="00DD3D54"/>
    <w:rsid w:val="00DE141C"/>
    <w:rsid w:val="00E965A0"/>
    <w:rsid w:val="00F60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E76A"/>
  <w15:chartTrackingRefBased/>
  <w15:docId w15:val="{62BC8569-8789-4673-9BD6-88E511DF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BBF"/>
    <w:pPr>
      <w:ind w:left="720"/>
      <w:contextualSpacing/>
    </w:pPr>
  </w:style>
  <w:style w:type="character" w:styleId="CommentReference">
    <w:name w:val="annotation reference"/>
    <w:basedOn w:val="DefaultParagraphFont"/>
    <w:uiPriority w:val="99"/>
    <w:semiHidden/>
    <w:unhideWhenUsed/>
    <w:rsid w:val="00F60BBF"/>
    <w:rPr>
      <w:sz w:val="16"/>
      <w:szCs w:val="16"/>
    </w:rPr>
  </w:style>
  <w:style w:type="paragraph" w:styleId="CommentText">
    <w:name w:val="annotation text"/>
    <w:basedOn w:val="Normal"/>
    <w:link w:val="CommentTextChar"/>
    <w:uiPriority w:val="99"/>
    <w:semiHidden/>
    <w:unhideWhenUsed/>
    <w:rsid w:val="00F60BBF"/>
    <w:pPr>
      <w:spacing w:line="240" w:lineRule="auto"/>
    </w:pPr>
    <w:rPr>
      <w:sz w:val="20"/>
      <w:szCs w:val="20"/>
    </w:rPr>
  </w:style>
  <w:style w:type="character" w:customStyle="1" w:styleId="CommentTextChar">
    <w:name w:val="Comment Text Char"/>
    <w:basedOn w:val="DefaultParagraphFont"/>
    <w:link w:val="CommentText"/>
    <w:uiPriority w:val="99"/>
    <w:semiHidden/>
    <w:rsid w:val="00F60BBF"/>
    <w:rPr>
      <w:sz w:val="20"/>
      <w:szCs w:val="20"/>
    </w:rPr>
  </w:style>
  <w:style w:type="paragraph" w:styleId="CommentSubject">
    <w:name w:val="annotation subject"/>
    <w:basedOn w:val="CommentText"/>
    <w:next w:val="CommentText"/>
    <w:link w:val="CommentSubjectChar"/>
    <w:uiPriority w:val="99"/>
    <w:semiHidden/>
    <w:unhideWhenUsed/>
    <w:rsid w:val="00F60BBF"/>
    <w:rPr>
      <w:b/>
      <w:bCs/>
    </w:rPr>
  </w:style>
  <w:style w:type="character" w:customStyle="1" w:styleId="CommentSubjectChar">
    <w:name w:val="Comment Subject Char"/>
    <w:basedOn w:val="CommentTextChar"/>
    <w:link w:val="CommentSubject"/>
    <w:uiPriority w:val="99"/>
    <w:semiHidden/>
    <w:rsid w:val="00F60BBF"/>
    <w:rPr>
      <w:b/>
      <w:bCs/>
      <w:sz w:val="20"/>
      <w:szCs w:val="20"/>
    </w:rPr>
  </w:style>
  <w:style w:type="paragraph" w:styleId="BalloonText">
    <w:name w:val="Balloon Text"/>
    <w:basedOn w:val="Normal"/>
    <w:link w:val="BalloonTextChar"/>
    <w:uiPriority w:val="99"/>
    <w:semiHidden/>
    <w:unhideWhenUsed/>
    <w:rsid w:val="00F60B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BBF"/>
    <w:rPr>
      <w:rFonts w:ascii="Segoe UI" w:hAnsi="Segoe UI" w:cs="Segoe UI"/>
      <w:sz w:val="18"/>
      <w:szCs w:val="18"/>
    </w:rPr>
  </w:style>
  <w:style w:type="paragraph" w:styleId="Header">
    <w:name w:val="header"/>
    <w:basedOn w:val="Normal"/>
    <w:link w:val="HeaderChar"/>
    <w:uiPriority w:val="99"/>
    <w:unhideWhenUsed/>
    <w:rsid w:val="00E965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5A0"/>
  </w:style>
  <w:style w:type="paragraph" w:styleId="Footer">
    <w:name w:val="footer"/>
    <w:basedOn w:val="Normal"/>
    <w:link w:val="FooterChar"/>
    <w:uiPriority w:val="99"/>
    <w:unhideWhenUsed/>
    <w:rsid w:val="00E965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60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NICOLETTE JULES</dc:creator>
  <cp:keywords/>
  <dc:description/>
  <cp:lastModifiedBy>Attorney General's Chambers</cp:lastModifiedBy>
  <cp:revision>2</cp:revision>
  <dcterms:created xsi:type="dcterms:W3CDTF">2025-10-14T14:49:00Z</dcterms:created>
  <dcterms:modified xsi:type="dcterms:W3CDTF">2025-10-14T14:49:00Z</dcterms:modified>
</cp:coreProperties>
</file>