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DA1" w14:textId="0B745340" w:rsidR="00C84F10" w:rsidRPr="00C84F10" w:rsidRDefault="00C84F10" w:rsidP="00C84F10">
      <w:pPr>
        <w:jc w:val="center"/>
        <w:rPr>
          <w:rFonts w:ascii="Century Gothic" w:hAnsi="Century Gothic"/>
          <w:b/>
          <w:bCs/>
        </w:rPr>
      </w:pPr>
      <w:r w:rsidRPr="00C84F10">
        <w:rPr>
          <w:rFonts w:ascii="Century Gothic" w:hAnsi="Century Gothic"/>
          <w:b/>
          <w:bCs/>
        </w:rPr>
        <w:t>Central Authority</w:t>
      </w:r>
    </w:p>
    <w:p w14:paraId="3C420452" w14:textId="08D09E0C" w:rsidR="00D224ED" w:rsidRPr="00C84F10" w:rsidRDefault="00D224ED" w:rsidP="00C84F10">
      <w:pPr>
        <w:jc w:val="both"/>
        <w:rPr>
          <w:rFonts w:ascii="Century Gothic" w:hAnsi="Century Gothic"/>
          <w:b/>
          <w:bCs/>
        </w:rPr>
      </w:pPr>
      <w:r w:rsidRPr="00C84F10">
        <w:rPr>
          <w:rFonts w:ascii="Century Gothic" w:hAnsi="Century Gothic"/>
          <w:b/>
          <w:bCs/>
        </w:rPr>
        <w:t>International Legal Cooperation</w:t>
      </w:r>
    </w:p>
    <w:p w14:paraId="4D0A8AD0" w14:textId="11D978F9" w:rsidR="00D224ED" w:rsidRPr="00C84F10" w:rsidRDefault="00D224ED" w:rsidP="00C84F10">
      <w:pPr>
        <w:jc w:val="both"/>
        <w:rPr>
          <w:rFonts w:ascii="Century Gothic" w:hAnsi="Century Gothic"/>
        </w:rPr>
      </w:pPr>
      <w:r w:rsidRPr="00C84F10">
        <w:rPr>
          <w:rFonts w:ascii="Century Gothic" w:hAnsi="Century Gothic"/>
        </w:rPr>
        <w:t xml:space="preserve">The Attorney General is the Central Authority for Saint Lucia for the purposes of international legal cooperation, which </w:t>
      </w:r>
      <w:r w:rsidR="00325A52">
        <w:rPr>
          <w:rFonts w:ascii="Century Gothic" w:hAnsi="Century Gothic"/>
        </w:rPr>
        <w:t>ordinarily</w:t>
      </w:r>
      <w:r w:rsidRPr="00C84F10">
        <w:rPr>
          <w:rFonts w:ascii="Century Gothic" w:hAnsi="Century Gothic"/>
        </w:rPr>
        <w:t xml:space="preserve"> relates to mutual legal assistance in criminal matters, international civil recovery and extraditions. </w:t>
      </w:r>
    </w:p>
    <w:p w14:paraId="54000D09" w14:textId="35C94CEA" w:rsidR="00D224ED" w:rsidRPr="00C84F10" w:rsidRDefault="00D224ED" w:rsidP="00C84F10">
      <w:pPr>
        <w:jc w:val="both"/>
        <w:rPr>
          <w:rFonts w:ascii="Century Gothic" w:hAnsi="Century Gothic"/>
        </w:rPr>
      </w:pPr>
      <w:r w:rsidRPr="00C84F10">
        <w:rPr>
          <w:rFonts w:ascii="Century Gothic" w:hAnsi="Century Gothic"/>
        </w:rPr>
        <w:t>Due to the transnational nature of crime, mutual legal assistance requests provide a pivotal role in international legal cooperation in combat</w:t>
      </w:r>
      <w:r w:rsidR="00325A52">
        <w:rPr>
          <w:rFonts w:ascii="Century Gothic" w:hAnsi="Century Gothic"/>
        </w:rPr>
        <w:t>ting</w:t>
      </w:r>
      <w:r w:rsidRPr="00C84F10">
        <w:rPr>
          <w:rFonts w:ascii="Century Gothic" w:hAnsi="Century Gothic"/>
        </w:rPr>
        <w:t xml:space="preserve"> cross border crimes.</w:t>
      </w:r>
    </w:p>
    <w:p w14:paraId="76503689" w14:textId="75BEA9F1" w:rsidR="00D224ED" w:rsidRPr="00C84F10" w:rsidRDefault="00D224ED" w:rsidP="00C84F10">
      <w:pPr>
        <w:jc w:val="both"/>
        <w:rPr>
          <w:rFonts w:ascii="Century Gothic" w:hAnsi="Century Gothic"/>
        </w:rPr>
      </w:pPr>
      <w:r w:rsidRPr="00C84F10">
        <w:rPr>
          <w:rFonts w:ascii="Century Gothic" w:hAnsi="Century Gothic"/>
        </w:rPr>
        <w:t xml:space="preserve">In that regard, the Central Authority of Saint Lucia remains committed to assisting our international partners in combatting cross border crimes and in seeking their reciprocal assistance. </w:t>
      </w:r>
    </w:p>
    <w:p w14:paraId="684A83E9" w14:textId="3A9C1868" w:rsidR="00D224ED" w:rsidRPr="00C84F10" w:rsidRDefault="00D224ED" w:rsidP="00C84F10">
      <w:pPr>
        <w:jc w:val="both"/>
        <w:rPr>
          <w:rFonts w:ascii="Century Gothic" w:hAnsi="Century Gothic"/>
          <w:b/>
          <w:bCs/>
        </w:rPr>
      </w:pPr>
      <w:r w:rsidRPr="00C84F10">
        <w:rPr>
          <w:rFonts w:ascii="Century Gothic" w:hAnsi="Century Gothic"/>
          <w:b/>
          <w:bCs/>
        </w:rPr>
        <w:t>Mutual legal assistance</w:t>
      </w:r>
    </w:p>
    <w:p w14:paraId="122BBED9" w14:textId="316C6645" w:rsidR="00D224ED" w:rsidRPr="00C84F10" w:rsidRDefault="00D224ED" w:rsidP="00C84F10">
      <w:pPr>
        <w:jc w:val="both"/>
        <w:rPr>
          <w:rFonts w:ascii="Century Gothic" w:hAnsi="Century Gothic"/>
        </w:rPr>
      </w:pPr>
      <w:r w:rsidRPr="00C84F10">
        <w:rPr>
          <w:rFonts w:ascii="Century Gothic" w:hAnsi="Century Gothic"/>
        </w:rPr>
        <w:t xml:space="preserve">For a summary of the types of assistance we can offer, please see our mutual legal assistance </w:t>
      </w:r>
      <w:commentRangeStart w:id="0"/>
      <w:r w:rsidRPr="00C84F10">
        <w:rPr>
          <w:rFonts w:ascii="Century Gothic" w:hAnsi="Century Gothic"/>
        </w:rPr>
        <w:t>fiche</w:t>
      </w:r>
      <w:commentRangeEnd w:id="0"/>
      <w:r w:rsidRPr="00C84F10">
        <w:rPr>
          <w:rStyle w:val="CommentReference"/>
          <w:rFonts w:ascii="Century Gothic" w:hAnsi="Century Gothic"/>
        </w:rPr>
        <w:commentReference w:id="0"/>
      </w:r>
      <w:r w:rsidRPr="00C84F10">
        <w:rPr>
          <w:rFonts w:ascii="Century Gothic" w:hAnsi="Century Gothic"/>
        </w:rPr>
        <w:t>.</w:t>
      </w:r>
    </w:p>
    <w:p w14:paraId="080A775E" w14:textId="7D99F906" w:rsidR="00C84F10" w:rsidRPr="00C84F10" w:rsidRDefault="00C84F10" w:rsidP="00C84F10">
      <w:pPr>
        <w:jc w:val="both"/>
        <w:rPr>
          <w:rFonts w:ascii="Century Gothic" w:hAnsi="Century Gothic"/>
          <w:b/>
          <w:bCs/>
        </w:rPr>
      </w:pPr>
      <w:r w:rsidRPr="00C84F10">
        <w:rPr>
          <w:rFonts w:ascii="Century Gothic" w:hAnsi="Century Gothic"/>
          <w:b/>
          <w:bCs/>
        </w:rPr>
        <w:t>Extraditions</w:t>
      </w:r>
    </w:p>
    <w:p w14:paraId="5F429FCC" w14:textId="52A75426" w:rsidR="00C84F10" w:rsidRPr="00C84F10" w:rsidRDefault="00D224ED" w:rsidP="00C84F10">
      <w:pPr>
        <w:jc w:val="both"/>
        <w:rPr>
          <w:rFonts w:ascii="Century Gothic" w:hAnsi="Century Gothic"/>
        </w:rPr>
      </w:pPr>
      <w:r w:rsidRPr="00C84F10">
        <w:rPr>
          <w:rFonts w:ascii="Century Gothic" w:hAnsi="Century Gothic"/>
        </w:rPr>
        <w:t>Saint Lucia also provides assistance in extraditing fugitives back to</w:t>
      </w:r>
      <w:r w:rsidR="00C84F10" w:rsidRPr="00C84F10">
        <w:rPr>
          <w:rFonts w:ascii="Century Gothic" w:hAnsi="Century Gothic"/>
        </w:rPr>
        <w:t xml:space="preserve"> foreign</w:t>
      </w:r>
      <w:r w:rsidRPr="00C84F10">
        <w:rPr>
          <w:rFonts w:ascii="Century Gothic" w:hAnsi="Century Gothic"/>
        </w:rPr>
        <w:t xml:space="preserve"> state</w:t>
      </w:r>
      <w:r w:rsidR="00C84F10" w:rsidRPr="00C84F10">
        <w:rPr>
          <w:rFonts w:ascii="Century Gothic" w:hAnsi="Century Gothic"/>
        </w:rPr>
        <w:t>s</w:t>
      </w:r>
      <w:r w:rsidRPr="00C84F10">
        <w:rPr>
          <w:rFonts w:ascii="Century Gothic" w:hAnsi="Century Gothic"/>
        </w:rPr>
        <w:t xml:space="preserve">. </w:t>
      </w:r>
      <w:r w:rsidR="00C84F10" w:rsidRPr="00C84F10">
        <w:rPr>
          <w:rFonts w:ascii="Century Gothic" w:hAnsi="Century Gothic"/>
        </w:rPr>
        <w:t>However, if the foreign state is not listed in the Schedule</w:t>
      </w:r>
      <w:r w:rsidR="002D3921">
        <w:rPr>
          <w:rFonts w:ascii="Century Gothic" w:hAnsi="Century Gothic"/>
        </w:rPr>
        <w:t xml:space="preserve"> of the Extradition Act</w:t>
      </w:r>
      <w:r w:rsidR="00C84F10" w:rsidRPr="00C84F10">
        <w:rPr>
          <w:rFonts w:ascii="Century Gothic" w:hAnsi="Century Gothic"/>
        </w:rPr>
        <w:t xml:space="preserve">, a statutory instrument may be required to permit the extradition to that specific foreign state. </w:t>
      </w:r>
    </w:p>
    <w:p w14:paraId="60A52C8F" w14:textId="06987A6A" w:rsidR="00D224ED" w:rsidRPr="00C84F10" w:rsidRDefault="00D224ED" w:rsidP="00C84F10">
      <w:pPr>
        <w:jc w:val="both"/>
        <w:rPr>
          <w:rFonts w:ascii="Century Gothic" w:hAnsi="Century Gothic"/>
        </w:rPr>
      </w:pPr>
      <w:r w:rsidRPr="00C84F10">
        <w:rPr>
          <w:rFonts w:ascii="Century Gothic" w:hAnsi="Century Gothic"/>
        </w:rPr>
        <w:t xml:space="preserve">The process </w:t>
      </w:r>
      <w:r w:rsidR="00C84F10" w:rsidRPr="00C84F10">
        <w:rPr>
          <w:rFonts w:ascii="Century Gothic" w:hAnsi="Century Gothic"/>
        </w:rPr>
        <w:t>is as follows:</w:t>
      </w:r>
    </w:p>
    <w:p w14:paraId="26FFC511" w14:textId="6900F358" w:rsidR="00C84F10" w:rsidRPr="00C84F10" w:rsidRDefault="00C84F10" w:rsidP="00C84F10">
      <w:pPr>
        <w:pStyle w:val="ListParagraph"/>
        <w:numPr>
          <w:ilvl w:val="0"/>
          <w:numId w:val="1"/>
        </w:numPr>
        <w:jc w:val="both"/>
        <w:rPr>
          <w:rFonts w:ascii="Century Gothic" w:hAnsi="Century Gothic"/>
        </w:rPr>
      </w:pPr>
      <w:r w:rsidRPr="00C84F10">
        <w:rPr>
          <w:rFonts w:ascii="Century Gothic" w:hAnsi="Century Gothic"/>
        </w:rPr>
        <w:t>The requesting state makes a request for the provisional arrest of the fugitive by providing the warrant of arrest from the requesting state which should identify the fugitive as well as the offence comm</w:t>
      </w:r>
      <w:r w:rsidR="002D3921">
        <w:rPr>
          <w:rFonts w:ascii="Century Gothic" w:hAnsi="Century Gothic"/>
        </w:rPr>
        <w:t>itt</w:t>
      </w:r>
      <w:r w:rsidRPr="00C84F10">
        <w:rPr>
          <w:rFonts w:ascii="Century Gothic" w:hAnsi="Century Gothic"/>
        </w:rPr>
        <w:t xml:space="preserve">ed, along with </w:t>
      </w:r>
      <w:r w:rsidR="00325A52">
        <w:rPr>
          <w:rFonts w:ascii="Century Gothic" w:hAnsi="Century Gothic"/>
        </w:rPr>
        <w:t>the requesting state’s</w:t>
      </w:r>
      <w:r w:rsidRPr="00C84F10">
        <w:rPr>
          <w:rFonts w:ascii="Century Gothic" w:hAnsi="Century Gothic"/>
        </w:rPr>
        <w:t xml:space="preserve"> undertaking to submit the formal request for surrender within sixty (60) days. </w:t>
      </w:r>
    </w:p>
    <w:p w14:paraId="2FFF0C82" w14:textId="6372D197" w:rsidR="00C84F10" w:rsidRPr="00C84F10" w:rsidRDefault="00C84F10" w:rsidP="00C84F10">
      <w:pPr>
        <w:pStyle w:val="ListParagraph"/>
        <w:numPr>
          <w:ilvl w:val="0"/>
          <w:numId w:val="1"/>
        </w:numPr>
        <w:jc w:val="both"/>
        <w:rPr>
          <w:rFonts w:ascii="Century Gothic" w:hAnsi="Century Gothic"/>
        </w:rPr>
      </w:pPr>
      <w:r w:rsidRPr="00C84F10">
        <w:rPr>
          <w:rFonts w:ascii="Century Gothic" w:hAnsi="Century Gothic"/>
        </w:rPr>
        <w:t>The requesting state must the</w:t>
      </w:r>
      <w:r w:rsidR="002D3921">
        <w:rPr>
          <w:rFonts w:ascii="Century Gothic" w:hAnsi="Century Gothic"/>
        </w:rPr>
        <w:t>n</w:t>
      </w:r>
      <w:r w:rsidRPr="00C84F10">
        <w:rPr>
          <w:rFonts w:ascii="Century Gothic" w:hAnsi="Century Gothic"/>
        </w:rPr>
        <w:t xml:space="preserve"> submit the formal request for the fugitive</w:t>
      </w:r>
      <w:r w:rsidR="002D3921">
        <w:rPr>
          <w:rFonts w:ascii="Century Gothic" w:hAnsi="Century Gothic"/>
        </w:rPr>
        <w:t>’</w:t>
      </w:r>
      <w:r w:rsidRPr="00C84F10">
        <w:rPr>
          <w:rFonts w:ascii="Century Gothic" w:hAnsi="Century Gothic"/>
        </w:rPr>
        <w:t xml:space="preserve">s surrender by providing a letter of request for his surrender with all the relevant supporting documents evidencing the commission of the offence. The request should contain direct evidence (usually in the form of affidavit evidence) supporting the criminal allegation. </w:t>
      </w:r>
    </w:p>
    <w:p w14:paraId="346249E3" w14:textId="2BB491C5" w:rsidR="00C84F10" w:rsidRPr="00C84F10" w:rsidRDefault="00C84F10" w:rsidP="00C84F10">
      <w:pPr>
        <w:pStyle w:val="ListParagraph"/>
        <w:numPr>
          <w:ilvl w:val="0"/>
          <w:numId w:val="1"/>
        </w:numPr>
        <w:jc w:val="both"/>
        <w:rPr>
          <w:rFonts w:ascii="Century Gothic" w:hAnsi="Century Gothic"/>
        </w:rPr>
      </w:pPr>
      <w:r w:rsidRPr="00C84F10">
        <w:rPr>
          <w:rFonts w:ascii="Century Gothic" w:hAnsi="Century Gothic"/>
        </w:rPr>
        <w:t>The Central Authority will then apply for surrender. The fugitive has fifteen (15) days to appeal, failing which</w:t>
      </w:r>
      <w:r w:rsidR="00325A52">
        <w:rPr>
          <w:rFonts w:ascii="Century Gothic" w:hAnsi="Century Gothic"/>
        </w:rPr>
        <w:t>,</w:t>
      </w:r>
      <w:r w:rsidRPr="00C84F10">
        <w:rPr>
          <w:rFonts w:ascii="Century Gothic" w:hAnsi="Century Gothic"/>
        </w:rPr>
        <w:t xml:space="preserve"> the fugitive will be surrendered to the requesting state. </w:t>
      </w:r>
      <w:r w:rsidR="002D3921">
        <w:rPr>
          <w:rFonts w:ascii="Century Gothic" w:hAnsi="Century Gothic"/>
        </w:rPr>
        <w:t>An application for the arrest and extradition can be done simultaneously, provided the requesting state has submitt</w:t>
      </w:r>
      <w:r w:rsidR="00325A52">
        <w:rPr>
          <w:rFonts w:ascii="Century Gothic" w:hAnsi="Century Gothic"/>
        </w:rPr>
        <w:t>ed</w:t>
      </w:r>
      <w:r w:rsidR="002D3921">
        <w:rPr>
          <w:rFonts w:ascii="Century Gothic" w:hAnsi="Century Gothic"/>
        </w:rPr>
        <w:t xml:space="preserve"> all </w:t>
      </w:r>
      <w:r w:rsidR="00325A52">
        <w:rPr>
          <w:rFonts w:ascii="Century Gothic" w:hAnsi="Century Gothic"/>
        </w:rPr>
        <w:t xml:space="preserve">of </w:t>
      </w:r>
      <w:r w:rsidR="002D3921">
        <w:rPr>
          <w:rFonts w:ascii="Century Gothic" w:hAnsi="Century Gothic"/>
        </w:rPr>
        <w:t xml:space="preserve">the pertinent documents. </w:t>
      </w:r>
    </w:p>
    <w:p w14:paraId="5B3C6C0F" w14:textId="193C546A" w:rsidR="00C84F10" w:rsidRPr="00C84F10" w:rsidRDefault="00C84F10" w:rsidP="00C84F10">
      <w:pPr>
        <w:jc w:val="both"/>
        <w:rPr>
          <w:rFonts w:ascii="Century Gothic" w:hAnsi="Century Gothic"/>
        </w:rPr>
      </w:pPr>
      <w:r w:rsidRPr="00C84F10">
        <w:rPr>
          <w:rFonts w:ascii="Century Gothic" w:hAnsi="Century Gothic"/>
        </w:rPr>
        <w:t xml:space="preserve">Relevant legislation can be found </w:t>
      </w:r>
      <w:commentRangeStart w:id="1"/>
      <w:r w:rsidRPr="00C84F10">
        <w:rPr>
          <w:rFonts w:ascii="Century Gothic" w:hAnsi="Century Gothic"/>
        </w:rPr>
        <w:t>here</w:t>
      </w:r>
      <w:commentRangeEnd w:id="1"/>
      <w:r w:rsidRPr="00C84F10">
        <w:rPr>
          <w:rStyle w:val="CommentReference"/>
          <w:rFonts w:ascii="Century Gothic" w:hAnsi="Century Gothic"/>
        </w:rPr>
        <w:commentReference w:id="1"/>
      </w:r>
      <w:r w:rsidRPr="00C84F10">
        <w:rPr>
          <w:rFonts w:ascii="Century Gothic" w:hAnsi="Century Gothic"/>
        </w:rPr>
        <w:t>.</w:t>
      </w:r>
    </w:p>
    <w:sectPr w:rsidR="00C84F10" w:rsidRPr="00C84F10" w:rsidSect="002D3921">
      <w:pgSz w:w="11906" w:h="16838"/>
      <w:pgMar w:top="1440" w:right="1440" w:bottom="1134"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ttorney General's Chambers" w:date="2025-11-18T16:17:00Z" w:initials="AGC">
    <w:p w14:paraId="269C3BE9" w14:textId="2040BD56" w:rsidR="00D224ED" w:rsidRDefault="00D224ED">
      <w:pPr>
        <w:pStyle w:val="CommentText"/>
      </w:pPr>
      <w:r>
        <w:rPr>
          <w:rStyle w:val="CommentReference"/>
        </w:rPr>
        <w:annotationRef/>
      </w:r>
      <w:r>
        <w:t>Hyperlink to document</w:t>
      </w:r>
    </w:p>
  </w:comment>
  <w:comment w:id="1" w:author="Attorney General's Chambers" w:date="2025-11-18T16:26:00Z" w:initials="AGC">
    <w:p w14:paraId="3A7F29CB" w14:textId="792B2FAB" w:rsidR="00C84F10" w:rsidRDefault="00C84F10">
      <w:pPr>
        <w:pStyle w:val="CommentText"/>
      </w:pPr>
      <w:r>
        <w:rPr>
          <w:rStyle w:val="CommentReference"/>
        </w:rPr>
        <w:annotationRef/>
      </w:r>
      <w:r>
        <w:t>Hyperlink to the relevant laws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9C3BE9" w15:done="0"/>
  <w15:commentEx w15:paraId="3A7F29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1E921F" w16cex:dateUtc="2025-11-18T20:17:00Z"/>
  <w16cex:commentExtensible w16cex:durableId="707DF2E8" w16cex:dateUtc="2025-11-18T2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9C3BE9" w16cid:durableId="521E921F"/>
  <w16cid:commentId w16cid:paraId="3A7F29CB" w16cid:durableId="707DF2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2248F"/>
    <w:multiLevelType w:val="hybridMultilevel"/>
    <w:tmpl w:val="36D0129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440736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ttorney General's Chambers">
    <w15:presenceInfo w15:providerId="None" w15:userId="Attorney General's Chambe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ED"/>
    <w:rsid w:val="002D3921"/>
    <w:rsid w:val="002F7DB8"/>
    <w:rsid w:val="00325A52"/>
    <w:rsid w:val="0067516D"/>
    <w:rsid w:val="00C84F10"/>
    <w:rsid w:val="00D224ED"/>
  </w:rsids>
  <m:mathPr>
    <m:mathFont m:val="Cambria Math"/>
    <m:brkBin m:val="before"/>
    <m:brkBinSub m:val="--"/>
    <m:smallFrac m:val="0"/>
    <m:dispDef/>
    <m:lMargin m:val="0"/>
    <m:rMargin m:val="0"/>
    <m:defJc m:val="centerGroup"/>
    <m:wrapIndent m:val="1440"/>
    <m:intLim m:val="subSup"/>
    <m:naryLim m:val="undOvr"/>
  </m:mathPr>
  <w:themeFontLang w:val="en-L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8B96B"/>
  <w15:chartTrackingRefBased/>
  <w15:docId w15:val="{FE186FE0-0EE8-4EA7-9F06-702A2495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4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4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4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4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24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24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4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4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4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4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4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4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4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24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24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4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4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4ED"/>
    <w:rPr>
      <w:rFonts w:eastAsiaTheme="majorEastAsia" w:cstheme="majorBidi"/>
      <w:color w:val="272727" w:themeColor="text1" w:themeTint="D8"/>
    </w:rPr>
  </w:style>
  <w:style w:type="paragraph" w:styleId="Title">
    <w:name w:val="Title"/>
    <w:basedOn w:val="Normal"/>
    <w:next w:val="Normal"/>
    <w:link w:val="TitleChar"/>
    <w:uiPriority w:val="10"/>
    <w:qFormat/>
    <w:rsid w:val="00D22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4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4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4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4ED"/>
    <w:pPr>
      <w:spacing w:before="160"/>
      <w:jc w:val="center"/>
    </w:pPr>
    <w:rPr>
      <w:i/>
      <w:iCs/>
      <w:color w:val="404040" w:themeColor="text1" w:themeTint="BF"/>
    </w:rPr>
  </w:style>
  <w:style w:type="character" w:customStyle="1" w:styleId="QuoteChar">
    <w:name w:val="Quote Char"/>
    <w:basedOn w:val="DefaultParagraphFont"/>
    <w:link w:val="Quote"/>
    <w:uiPriority w:val="29"/>
    <w:rsid w:val="00D224ED"/>
    <w:rPr>
      <w:i/>
      <w:iCs/>
      <w:color w:val="404040" w:themeColor="text1" w:themeTint="BF"/>
    </w:rPr>
  </w:style>
  <w:style w:type="paragraph" w:styleId="ListParagraph">
    <w:name w:val="List Paragraph"/>
    <w:basedOn w:val="Normal"/>
    <w:uiPriority w:val="34"/>
    <w:qFormat/>
    <w:rsid w:val="00D224ED"/>
    <w:pPr>
      <w:ind w:left="720"/>
      <w:contextualSpacing/>
    </w:pPr>
  </w:style>
  <w:style w:type="character" w:styleId="IntenseEmphasis">
    <w:name w:val="Intense Emphasis"/>
    <w:basedOn w:val="DefaultParagraphFont"/>
    <w:uiPriority w:val="21"/>
    <w:qFormat/>
    <w:rsid w:val="00D224ED"/>
    <w:rPr>
      <w:i/>
      <w:iCs/>
      <w:color w:val="2F5496" w:themeColor="accent1" w:themeShade="BF"/>
    </w:rPr>
  </w:style>
  <w:style w:type="paragraph" w:styleId="IntenseQuote">
    <w:name w:val="Intense Quote"/>
    <w:basedOn w:val="Normal"/>
    <w:next w:val="Normal"/>
    <w:link w:val="IntenseQuoteChar"/>
    <w:uiPriority w:val="30"/>
    <w:qFormat/>
    <w:rsid w:val="00D224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4ED"/>
    <w:rPr>
      <w:i/>
      <w:iCs/>
      <w:color w:val="2F5496" w:themeColor="accent1" w:themeShade="BF"/>
    </w:rPr>
  </w:style>
  <w:style w:type="character" w:styleId="IntenseReference">
    <w:name w:val="Intense Reference"/>
    <w:basedOn w:val="DefaultParagraphFont"/>
    <w:uiPriority w:val="32"/>
    <w:qFormat/>
    <w:rsid w:val="00D224ED"/>
    <w:rPr>
      <w:b/>
      <w:bCs/>
      <w:smallCaps/>
      <w:color w:val="2F5496" w:themeColor="accent1" w:themeShade="BF"/>
      <w:spacing w:val="5"/>
    </w:rPr>
  </w:style>
  <w:style w:type="character" w:styleId="CommentReference">
    <w:name w:val="annotation reference"/>
    <w:basedOn w:val="DefaultParagraphFont"/>
    <w:uiPriority w:val="99"/>
    <w:semiHidden/>
    <w:unhideWhenUsed/>
    <w:rsid w:val="00D224ED"/>
    <w:rPr>
      <w:sz w:val="16"/>
      <w:szCs w:val="16"/>
    </w:rPr>
  </w:style>
  <w:style w:type="paragraph" w:styleId="CommentText">
    <w:name w:val="annotation text"/>
    <w:basedOn w:val="Normal"/>
    <w:link w:val="CommentTextChar"/>
    <w:uiPriority w:val="99"/>
    <w:semiHidden/>
    <w:unhideWhenUsed/>
    <w:rsid w:val="00D224ED"/>
    <w:pPr>
      <w:spacing w:line="240" w:lineRule="auto"/>
    </w:pPr>
    <w:rPr>
      <w:sz w:val="20"/>
      <w:szCs w:val="20"/>
    </w:rPr>
  </w:style>
  <w:style w:type="character" w:customStyle="1" w:styleId="CommentTextChar">
    <w:name w:val="Comment Text Char"/>
    <w:basedOn w:val="DefaultParagraphFont"/>
    <w:link w:val="CommentText"/>
    <w:uiPriority w:val="99"/>
    <w:semiHidden/>
    <w:rsid w:val="00D224ED"/>
    <w:rPr>
      <w:sz w:val="20"/>
      <w:szCs w:val="20"/>
    </w:rPr>
  </w:style>
  <w:style w:type="paragraph" w:styleId="CommentSubject">
    <w:name w:val="annotation subject"/>
    <w:basedOn w:val="CommentText"/>
    <w:next w:val="CommentText"/>
    <w:link w:val="CommentSubjectChar"/>
    <w:uiPriority w:val="99"/>
    <w:semiHidden/>
    <w:unhideWhenUsed/>
    <w:rsid w:val="00D224ED"/>
    <w:rPr>
      <w:b/>
      <w:bCs/>
    </w:rPr>
  </w:style>
  <w:style w:type="character" w:customStyle="1" w:styleId="CommentSubjectChar">
    <w:name w:val="Comment Subject Char"/>
    <w:basedOn w:val="CommentTextChar"/>
    <w:link w:val="CommentSubject"/>
    <w:uiPriority w:val="99"/>
    <w:semiHidden/>
    <w:rsid w:val="00D224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Attorney General's Chambers</dc:creator>
  <cp:keywords/>
  <dc:description/>
  <cp:lastModifiedBy>Attorney General's Chambers</cp:lastModifiedBy>
  <cp:revision>3</cp:revision>
  <dcterms:created xsi:type="dcterms:W3CDTF">2025-11-18T20:10:00Z</dcterms:created>
  <dcterms:modified xsi:type="dcterms:W3CDTF">2025-11-19T14:58:00Z</dcterms:modified>
</cp:coreProperties>
</file>